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center"/>
        <w:rPr>
          <w:rFonts w:hint="eastAsia" w:ascii="宋体" w:hAnsi="宋体"/>
          <w:color w:val="000000" w:themeColor="text1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2021年</w:t>
      </w:r>
      <w:r>
        <w:rPr>
          <w:rFonts w:hint="eastAsia" w:ascii="宋体" w:hAnsi="宋体"/>
          <w:color w:val="000000" w:themeColor="text1"/>
          <w:sz w:val="44"/>
          <w:szCs w:val="44"/>
          <w:lang w:eastAsia="zh-CN"/>
        </w:rPr>
        <w:t>市纪委监委</w:t>
      </w:r>
    </w:p>
    <w:p>
      <w:pPr>
        <w:widowControl/>
        <w:spacing w:line="580" w:lineRule="atLeast"/>
        <w:jc w:val="center"/>
        <w:rPr>
          <w:rFonts w:ascii="仿宋_GB2312" w:hAnsi="宋体" w:eastAsia="仿宋_GB2312" w:cs="宋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44"/>
          <w:szCs w:val="44"/>
        </w:rPr>
        <w:t>部门预算公开有关事项的说明</w:t>
      </w:r>
    </w:p>
    <w:p>
      <w:pPr>
        <w:widowControl/>
        <w:spacing w:line="580" w:lineRule="atLeast"/>
        <w:jc w:val="center"/>
        <w:rPr>
          <w:rFonts w:ascii="仿宋_GB2312" w:hAnsi="宋体" w:eastAsia="仿宋_GB2312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一、部门职责、机构设置等基本情况</w:t>
      </w: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部门职责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1、负责全市党的纪律检查工作。负责贯彻落实党中央、中纪委、省委、省纪委和定州市委关于加强党风廉政建设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决定；按照中央确定的党风廉政建设的领导体制和工作机制，对全市党风廉政建设和反腐败斗争作出部署，对各项任务组织协调，并负责对完成情况进行监督检查；维护党的章程和其它党内法规；监督检查党的路线、方针、政策和决议的执行情况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2、负责全市行政监察工作。负责贯彻落实党中央、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务院和省、市有关行政监察工作的决定；监督检查市政府各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部门及其工作人员和各乡（镇）人民政府、城区办事处及其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主要负责人执行国家及省、市的政策、法律、法规、国民经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济和社会发展计划，国务院和省、市政府颁发的决议和命令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的执行情况。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3、负责检查并处理市委、市政府机关各部门、各乡镇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办党的组织和市委管理的党员领导干部违反党的章程及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内法规的案件，决定和取消对这些案件中的党员的处分；受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理党员的控告和申诉，必要时直接查处下级党的纪律检查机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关管辖范围内的比较重要或复杂的案件；变更或撤销乡级及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其以下纪律检查机关不适当的决定和规定。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4、负责调查处理市政府各部门及其工作人员和乡（镇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人民政府、城区办事处及其主要负责人违反国家政策、法规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及违反政纪的行为，并根据责任人所犯错误的情节轻重，按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有关程序提出处分建议或按市政府授权直接给予行政处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分；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受理监察对象不服政纪处分的申诉；受理个人或单位对监察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对象违纪行为的检举、控告。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5、承担市政府纠正部门和行业不正之风职责，负责减轻企业负担、减轻农民负担、治理公路“三乱”、中小学乱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收费、收支两条线工作。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6、负责对全市各级各部门财经纪律执行情况的检查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督、查处违反财经纪律的案件。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7、负责做出关于维护党纪、政纪的决定；制定全市党风廉政教育规划；宣传党的纪检监察工作方针、政策，教育</w:t>
      </w:r>
    </w:p>
    <w:p>
      <w:pPr>
        <w:widowControl/>
        <w:shd w:val="clear" w:color="auto" w:fill="FFFFFF"/>
        <w:spacing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国家工作人员遵纪守法，为政清廉。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8、调查研究市政府各部门和各乡（镇）人民政府、城区办事处制定的有关政策、规定情况，对其违反国家法律和有损国家利益的条款提出修改、补充的建议；变更或撤销乡（科）级以下不适当的决定和规定。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9、会同有关组织部门做好全市纪检监察系统干部的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理工作，审核乡（科）级纪委（纪检组）、监察室领导干部人选；会同组织部门管理乡（科）级纪委书记（纪检组长），负责乡（科）级纪委（纪检组）和监察室其他领导干部的任免工作；指导乡（科）级纪委领导班子换届选举工作；组织和指导全市纪检监察干部的培训工作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10、负责对党的纪律检查、行政监察工作理论及有关问题进行调查研究。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11、承办中纪委、监察委、省纪委、省监察委及市委、市政府授权和交办的其他事项。</w:t>
      </w:r>
    </w:p>
    <w:p>
      <w:pPr>
        <w:widowControl/>
        <w:shd w:val="clear" w:color="auto" w:fill="FFFFFF"/>
        <w:spacing w:line="580" w:lineRule="exact"/>
        <w:ind w:firstLine="643" w:firstLineChars="200"/>
        <w:jc w:val="both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机构设置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中国共产党河北省定州市纪律检查委员会为共产党机关，全额财政拨款单位，负责党的纪律审查和行政监察工作，设15 个内设机构，办公室、党风政风监督室、信访室、案件监督管理室、第一至第六监督检查室、第七至九审查调查室、案件审理室及纪检监察干部监督室。行政机关编制 101 名，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年年末实有人数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人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二、部门预算安排总体情况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1、部门预算总体收入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2069.49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万元，其中财政拨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2069.49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万元（一般公共预算收入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2069.49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万元、政府性基金 0 万元、国有资本经营预算安排的包括收入 0 万元）、上级补助收入 0 万元、事业收入 0 万元、经营收入 0 万元、附属单位上缴收入 0 万元、其他收入 0 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2、部门安排支出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2069.49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万元，其中基本支出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1753.53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万元、项目支出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315.96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万元、上缴上级支出 0 万元、经营支出 0 万元、对附属单位补助支出 0 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3、增减变化情况：相比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年总预算拨款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14.84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原因：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严格执行八项规定，节约经费开支。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三、机关运行经费安排情况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我部门机关运行经费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175.68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万元，其中：办公费18.17万元、印刷费 4 万元、办公用房水费 1.98 万元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电费 8 万元、邮电费 4 万元、办公用房取暖费 6.8 万元、差旅费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6.53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万元、会议费 2 万元、培训费 3 万元、公务接待费 2.4 万元、工会费 8.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万元、福利费 12.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万元、公务用车运行维护费20.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万元、公务交通补贴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四、财政拨款“三公”经费预算情况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我部门“三公”经费预算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22.8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万元（一般公共预算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22.8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万元、政府性基金预算 0 万元、国有资本经营预算和财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政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专户核拨资金 0 万元），其中：安排因公出国（境）费 0 万元，与上年部门预算安排比较无增减变化；公务用车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购置及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运行费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20.4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（公务用车购置费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0万元、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公务用车运行费 20.4 万元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比上年预算安排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万元，变化原因：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本年预算没有安排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公务用车购置费；公务接待费 2.4 万元，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与上年预算持平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公务用车运行费 20.4 万元，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与上年预算持平。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五、绩效预算信息情况</w:t>
      </w: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总体绩效目标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认真贯彻落实党的十九大精神，按照中央纪委、省纪委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和市委部署要求，坚持全面从严治党、依规治党，忠诚履行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党章赋予的职责，把纪律和规矩挺在前面，加强和规范党内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监督，深入推进体制机制改革，持之以恒改进作风，坚决有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力惩治腐败，科学运用"四种形态"，深化标本兼治，完善党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内监督体制机制，依法查办和预防职务犯罪案件，促进国家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工作人员依法行使职权，建设忠诚干净担当的纪检铁军，为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加快建设经济强市、美丽定州提供坚强纪律保证。</w:t>
      </w: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部门职责工作活动的绩效目标指标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我部门负责在全市范围内宣传党的纪检工作方针、政策，教育纪检干部遵守和执行党章以及党内法规、党的路线方针政策和决议、国家法规等，按计划组织开展了教育活动，定期对纪检干部进行了培训；全面提高纪检监察干部队伍素质。积极发挥职能作用，加强党风廉政建设，营造风清气正、干事创业的工作氛围。指标完成情况力争达到 100%。负责受理信访举报，集中管理问题线索、组织协调案件查办，调查、审查违纪违法案件，对案件审理提出处理意见。指标完成情况力争达到 100%。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负责对有关对象违反党纪政纪和违纪违法行为进行处理；组织协调案件查办工作;承担县级监察局的行政复议、行政应诉及有关条规的起草工作。指标完成情况力争达到100%。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负责监督检查党内法规政策、国家法律法规、党风廉政建设等的执行情况；履行市政府纠正行业不正之风办公室职能；贯彻落实市委有关部署，开展常态化全覆盖监督。指标完成情况力争达到 100%。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负责查办和预防职务犯罪案件，完成指挥或办理职务犯罪案件工作，提高案件起诉率、判决率；完成追逃、追赃任务，最大限度挽回经济损失，促进国家工作人员依法行使职权。指标完成情况力争达到 100%。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六、政府采购预算情况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本年度部门预算共计安排政府采购项目为 A 类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个，涉及金额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万元，其中，货物类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个，涉及金额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七、国有资产信息情况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年末固定资产固定资产总额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864.02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万元，通用设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备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635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个（台、辆等）, 价值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795.68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元（其中:车辆占用数量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辆，价值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109.71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万元），专用设备 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个（台等）、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14.08万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元，家具、用具、装具及动植物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1652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个（套等）、价值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54.26万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元,单价2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万元以上设备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有案件数据化平台和检举举报平台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2个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八、专业名词解释</w:t>
      </w: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财政拨款收入：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本年度从本级财政部门取得的财政拨款，包括一般公共预算财政拨款和政府性基金预算财政拨款。</w:t>
      </w:r>
    </w:p>
    <w:p>
      <w:pPr>
        <w:widowControl/>
        <w:shd w:val="clear" w:color="auto" w:fill="FFFFFF"/>
        <w:spacing w:line="58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机关运行经费：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指为保障行政单位（包括参照公务员法管理的事业单位）运行用于购买货物和服务的各项资金，包 括办公及印刷费、邮电费、差旅费、会议费、福利费、日常维修 费、专用材料以及一般设备购置费、办公用房水电费、办公用房 取暖费、办公用房物业管理费、公务用车运行维护费以及其他费用。</w:t>
      </w:r>
    </w:p>
    <w:p>
      <w:pPr>
        <w:widowControl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三公”经费：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指部门用财政拨款安排的因公出国 （境）费、公务用车购置及运行费和公务接待费。其中，因公出 国（境）费反映单位公务出国（境）的国际旅费、国外城市间交通费、住宿费、伙食费、培训费、公杂费等支出；公务用车购置 及运行费反映单位公务用车购置支出（含车辆购置税）及租用费、 燃料费、维修费、过路过桥费、保险费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</w:rPr>
        <w:t>安全奖励费用等支出</w:t>
      </w: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公务接待费反映单位按规定开支的各类公务接待（含外宾接待） 支出。</w:t>
      </w:r>
    </w:p>
    <w:p>
      <w:pPr>
        <w:widowControl/>
        <w:shd w:val="clear" w:color="auto" w:fill="FFFFFF"/>
        <w:spacing w:line="58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公务用车购置：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填列单位公务用车购置支出（含车 辆</w:t>
      </w:r>
      <w:bookmarkEnd w:id="0"/>
      <w:r>
        <w:rPr>
          <w:rFonts w:hint="eastAsia" w:ascii="仿宋_GB2312" w:hAnsi="Times New Roman" w:eastAsia="仿宋_GB2312"/>
          <w:kern w:val="0"/>
          <w:sz w:val="32"/>
          <w:szCs w:val="32"/>
        </w:rPr>
        <w:t>购置税、牌照费）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九、其他需说明的事项</w:t>
      </w:r>
    </w:p>
    <w:p>
      <w:pPr>
        <w:widowControl/>
        <w:spacing w:line="580" w:lineRule="atLeast"/>
        <w:ind w:firstLine="640"/>
        <w:jc w:val="left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本部门无政府基金预算、国有资本经营预算，故 07.08表空表列示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7C0"/>
    <w:rsid w:val="00086C7E"/>
    <w:rsid w:val="002A7B6A"/>
    <w:rsid w:val="00462846"/>
    <w:rsid w:val="005A014E"/>
    <w:rsid w:val="006667C0"/>
    <w:rsid w:val="006E27D7"/>
    <w:rsid w:val="00732991"/>
    <w:rsid w:val="007F3DDB"/>
    <w:rsid w:val="00875CC7"/>
    <w:rsid w:val="00A72AC0"/>
    <w:rsid w:val="00B02E85"/>
    <w:rsid w:val="00B876BF"/>
    <w:rsid w:val="00B9630C"/>
    <w:rsid w:val="00C37481"/>
    <w:rsid w:val="00C70B56"/>
    <w:rsid w:val="00CF605B"/>
    <w:rsid w:val="00D8145C"/>
    <w:rsid w:val="00E50F76"/>
    <w:rsid w:val="00EA60A4"/>
    <w:rsid w:val="00EE3631"/>
    <w:rsid w:val="00F74CCB"/>
    <w:rsid w:val="141E205B"/>
    <w:rsid w:val="1540317F"/>
    <w:rsid w:val="42BC6EF3"/>
    <w:rsid w:val="47BE1C15"/>
    <w:rsid w:val="507B1225"/>
    <w:rsid w:val="6AD96AE5"/>
    <w:rsid w:val="74560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1576</Characters>
  <Lines>13</Lines>
  <Paragraphs>3</Paragraphs>
  <TotalTime>25</TotalTime>
  <ScaleCrop>false</ScaleCrop>
  <LinksUpToDate>false</LinksUpToDate>
  <CharactersWithSpaces>1849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2018-02-27T07:57:00Z</dcterms:created>
  <dc:creator>Administrator</dc:creator>
  <cp:lastModifiedBy>Administrator</cp:lastModifiedBy>
  <cp:lastPrinted>2021-03-11T03:54:00Z</cp:lastPrinted>
  <dcterms:modified xsi:type="dcterms:W3CDTF">2021-03-11T06:16:37Z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